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center" w:pos="1088"/>
          <w:tab w:val="center" w:pos="4427"/>
        </w:tabs>
        <w:bidi w:val="1"/>
        <w:spacing w:after="252" w:lineRule="auto"/>
        <w:contextualSpacing w:val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جمهورية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  <w:tab/>
        <w:t xml:space="preserve">))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التدريسية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((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spacing w:after="192" w:lineRule="auto"/>
        <w:ind w:left="180" w:right="241" w:hanging="18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84" w:line="265" w:lineRule="auto"/>
        <w:ind w:left="445" w:right="128" w:hanging="1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جهاز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81281</wp:posOffset>
            </wp:positionH>
            <wp:positionV relativeFrom="paragraph">
              <wp:posOffset>-266057</wp:posOffset>
            </wp:positionV>
            <wp:extent cx="2585618" cy="1209576"/>
            <wp:effectExtent b="0" l="0" r="0" t="0"/>
            <wp:wrapSquare wrapText="bothSides" distB="0" distT="0" distL="114300" distR="114300"/>
            <wp:docPr id="77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5618" cy="12095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spacing w:after="537" w:line="265" w:lineRule="auto"/>
        <w:ind w:left="471" w:right="128" w:hanging="1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44" w:lineRule="auto"/>
        <w:ind w:left="128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06" w:line="265" w:lineRule="auto"/>
        <w:ind w:left="-3" w:right="128" w:hanging="1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أسم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9"/>
          <w:szCs w:val="29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9"/>
          <w:szCs w:val="29"/>
          <w:rtl w:val="1"/>
        </w:rPr>
        <w:t xml:space="preserve">ديالى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206" w:line="265" w:lineRule="auto"/>
        <w:ind w:left="-3" w:right="128" w:hanging="1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أسم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://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9"/>
          <w:szCs w:val="29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20" w:lineRule="auto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أسم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1"/>
        </w:rPr>
        <w:t xml:space="preserve">المحاصيل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1"/>
        </w:rPr>
        <w:t xml:space="preserve">الحقلية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92" w:lineRule="auto"/>
        <w:ind w:left="10" w:hanging="1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أسم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المحاضر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مجيد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السعيدي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06" w:line="265" w:lineRule="auto"/>
        <w:ind w:left="-3" w:right="128" w:hanging="10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1"/>
        </w:rPr>
        <w:t xml:space="preserve">مدرس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13" w:lineRule="auto"/>
        <w:ind w:right="93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right="93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contextualSpacing w:val="0"/>
        <w:rPr/>
        <w:sectPr>
          <w:pgSz w:h="16845" w:w="11910"/>
          <w:pgMar w:bottom="1440" w:top="1440" w:left="1127" w:right="619" w:header="720" w:footer="720"/>
          <w:pgNumType w:start="1"/>
          <w:cols w:equalWidth="0" w:num="2">
            <w:col w:space="545" w:w="4809.5"/>
            <w:col w:space="0" w:w="4809.5"/>
          </w:cols>
          <w:bidi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left"/>
        <w:tblInd w:w="-127.0" w:type="dxa"/>
        <w:tblLayout w:type="fixed"/>
        <w:tblLook w:val="0400"/>
      </w:tblPr>
      <w:tblGrid>
        <w:gridCol w:w="1682"/>
        <w:gridCol w:w="1547"/>
        <w:gridCol w:w="1562"/>
        <w:gridCol w:w="1562"/>
        <w:gridCol w:w="571"/>
        <w:gridCol w:w="2268"/>
        <w:tblGridChange w:id="0">
          <w:tblGrid>
            <w:gridCol w:w="1682"/>
            <w:gridCol w:w="1547"/>
            <w:gridCol w:w="1562"/>
            <w:gridCol w:w="1562"/>
            <w:gridCol w:w="571"/>
            <w:gridCol w:w="2268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ind w:left="2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حسن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مجيد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ind w:left="74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التدريسي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ind w:right="84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hasanmajeed@uodiyala.edu.iq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ind w:left="7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البريد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ind w:right="84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ind w:left="77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ind w:left="2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تكنلوجيا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ind w:left="7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ind w:left="2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ind w:left="80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spacing w:after="23" w:line="234" w:lineRule="auto"/>
              <w:ind w:left="305" w:right="202" w:hanging="157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بأهمية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الخصائص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الفيزيائية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والوراثية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الصلة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بأنتاج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ومعالجة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وتصديق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والتعرف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التعليمات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الدولية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الخاصة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بفحص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وتداول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right="178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2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bidi w:val="1"/>
              <w:ind w:left="7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أهداف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bidi w:val="1"/>
              <w:ind w:right="293" w:firstLine="4"/>
              <w:contextualSpacing w:val="0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الفخري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عبدالله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قاسم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والسيد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صالح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خاف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.1983.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المحاصيل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انتاجها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ونوعيتها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مطابع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مديرية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للطباعة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والنشر</w:t>
            </w:r>
          </w:p>
          <w:p w:rsidR="00000000" w:rsidDel="00000000" w:rsidP="00000000" w:rsidRDefault="00000000" w:rsidRPr="00000000" w14:paraId="00000036">
            <w:pPr>
              <w:bidi w:val="1"/>
              <w:ind w:right="293" w:firstLine="4"/>
              <w:contextualSpacing w:val="0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امين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هاشم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وعلي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حسين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عباس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فحص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وتصديق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العالي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والبحث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العلمي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:270.</w:t>
            </w:r>
          </w:p>
          <w:p w:rsidR="00000000" w:rsidDel="00000000" w:rsidP="00000000" w:rsidRDefault="00000000" w:rsidRPr="00000000" w14:paraId="00000037">
            <w:pPr>
              <w:bidi w:val="1"/>
              <w:ind w:right="293" w:firstLine="4"/>
              <w:contextualSpacing w:val="0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عطية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حاتم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جبار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وخضير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عباس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جدوع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.1999.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منظمات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النمو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النباتية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والتطبيقية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العالي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الزراعة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:327 . </w:t>
            </w:r>
          </w:p>
          <w:p w:rsidR="00000000" w:rsidDel="00000000" w:rsidP="00000000" w:rsidRDefault="00000000" w:rsidRPr="00000000" w14:paraId="00000038">
            <w:pPr>
              <w:bidi w:val="1"/>
              <w:ind w:right="293" w:firstLine="4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ind w:left="7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المنهجية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spacing w:after="76" w:line="229" w:lineRule="auto"/>
              <w:ind w:left="2409" w:right="127" w:hanging="1800"/>
              <w:contextualSpacing w:val="0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حمزة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جلال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حميد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تأثير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حجم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الناتجة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مواعيد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الزراعة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قوة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البذرة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وحاصل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الحبوب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للذرة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البيضاء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علوم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المحاصيل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الحقلية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الزراعة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3F">
            <w:pPr>
              <w:bidi w:val="1"/>
              <w:spacing w:after="76" w:line="229" w:lineRule="auto"/>
              <w:ind w:left="2409" w:right="127" w:hanging="1800"/>
              <w:contextualSpacing w:val="0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ISTA.1985. international rules for seed testing .seed technol .13:356-513.</w:t>
            </w:r>
          </w:p>
          <w:p w:rsidR="00000000" w:rsidDel="00000000" w:rsidP="00000000" w:rsidRDefault="00000000" w:rsidRPr="00000000" w14:paraId="00000040">
            <w:pPr>
              <w:bidi w:val="1"/>
              <w:spacing w:after="76" w:line="229" w:lineRule="auto"/>
              <w:ind w:left="2409" w:right="127" w:hanging="1800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Desai.B.B.2004.seeds.Handbook .Bilogy.Production .Proccessing and storage .2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edn.Marcel Dekker.Inc.New York.ISBN:0-8247-4800-X.pp.787.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spacing w:after="934" w:lineRule="auto"/>
              <w:ind w:left="7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المصادر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الخارجية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-3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bidi w:val="1"/>
              <w:ind w:right="909" w:firstLine="71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النهائية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bidi w:val="1"/>
              <w:spacing w:after="198" w:lineRule="auto"/>
              <w:ind w:left="2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النهائي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bidi w:val="1"/>
              <w:ind w:right="922" w:firstLine="72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نظري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bidi w:val="1"/>
              <w:spacing w:after="198" w:lineRule="auto"/>
              <w:ind w:left="35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السعي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ind w:right="923" w:firstLine="72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نظري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ind w:right="64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bidi w:val="1"/>
              <w:spacing w:after="181" w:lineRule="auto"/>
              <w:ind w:left="76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تقديرات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ind w:right="38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الدراس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ind w:right="504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100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ind w:right="1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60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ind w:right="16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ind w:right="35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ind w:left="292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217" w:lineRule="auto"/>
        <w:contextualSpacing w:val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"/>
          <w:szCs w:val="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right="75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42.0" w:type="dxa"/>
        <w:jc w:val="left"/>
        <w:tblInd w:w="0.0" w:type="dxa"/>
        <w:tblLayout w:type="fixed"/>
        <w:tblLook w:val="0400"/>
      </w:tblPr>
      <w:tblGrid>
        <w:gridCol w:w="1907"/>
        <w:gridCol w:w="6518"/>
        <w:gridCol w:w="1217"/>
        <w:tblGridChange w:id="0">
          <w:tblGrid>
            <w:gridCol w:w="1907"/>
            <w:gridCol w:w="6518"/>
            <w:gridCol w:w="1217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bidi w:val="1"/>
              <w:ind w:right="631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الجزء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العملي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الجــــــــــــزء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النظـــــــــــــــــــــــــــــــــــــــــري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ind w:right="165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الأسبوع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تكنلوجيا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تكنولوجیا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أھداف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تكنولوجیا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إنتاج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تكنولوجیا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الحبوب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التكنولوجیا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bidi w:val="1"/>
              <w:ind w:left="10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التكنولوجیا</w:t>
            </w:r>
          </w:p>
          <w:p w:rsidR="00000000" w:rsidDel="00000000" w:rsidP="00000000" w:rsidRDefault="00000000" w:rsidRPr="00000000" w14:paraId="00000064">
            <w:pPr>
              <w:bidi w:val="1"/>
              <w:ind w:left="107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الازھار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68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الازھار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69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المؤثرة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الازھار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وعقد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الثمار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6A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التلقیح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6B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تشخیص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6C">
            <w:pPr>
              <w:bidi w:val="1"/>
              <w:ind w:left="22" w:right="676" w:firstLine="7.9999999999999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بالطرق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الفیزیاویة</w:t>
            </w:r>
          </w:p>
          <w:p w:rsidR="00000000" w:rsidDel="00000000" w:rsidP="00000000" w:rsidRDefault="00000000" w:rsidRPr="00000000" w14:paraId="0000006D">
            <w:pPr>
              <w:bidi w:val="1"/>
              <w:ind w:left="22" w:right="676" w:firstLine="7.999999999999998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والكیمیاویة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bidi w:val="1"/>
              <w:ind w:left="-34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مقدمة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1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2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تعریف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الثمرة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3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أھمیة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4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تكوین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5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تكوین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6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ظاھرة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7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تركیب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8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تصنیف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9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وذوات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الفلقتین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A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تركیب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وطریقة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البزوغ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وذات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B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الفلقتین</w:t>
            </w:r>
          </w:p>
          <w:p w:rsidR="00000000" w:rsidDel="00000000" w:rsidP="00000000" w:rsidRDefault="00000000" w:rsidRPr="00000000" w14:paraId="0000007C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أمثلة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وذوات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الفلقتین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D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التركیب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الكیمیاوي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وعلاقتھ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بقیمتھا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كتقاوي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E">
            <w:pPr>
              <w:bidi w:val="1"/>
              <w:ind w:right="39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اھم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المكونات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الكیمیاویة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7F">
            <w:pPr>
              <w:bidi w:val="1"/>
              <w:ind w:right="39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تشخیص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فسیولوجیا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3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4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5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6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العملیات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توفر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الملائمة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7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منظمات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8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منظمات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النمو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9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للآلیات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الھرمونیة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A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B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C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D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E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مسببات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8F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0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صناعی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</w:t>
            </w:r>
          </w:p>
          <w:p w:rsidR="00000000" w:rsidDel="00000000" w:rsidP="00000000" w:rsidRDefault="00000000" w:rsidRPr="00000000" w14:paraId="00000091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حیویة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2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فحص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التترازولیوم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3">
            <w:pPr>
              <w:bidi w:val="1"/>
              <w:ind w:right="2208" w:firstLine="3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4">
            <w:pPr>
              <w:bidi w:val="1"/>
              <w:ind w:right="2208" w:firstLine="3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المؤثرة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حیویة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ind w:right="191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امتحان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bidi w:val="1"/>
              <w:ind w:left="7" w:right="165" w:firstLine="0.9999999999999998"/>
              <w:contextualSpacing w:val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لتنشيط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C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D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مساوىء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E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العملیات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الایضیة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المنشطة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9F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تؤثر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0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جھد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1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2">
            <w:pPr>
              <w:bidi w:val="1"/>
              <w:ind w:left="7" w:right="165" w:firstLine="0.9999999999999998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التوصیات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والرؤى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التطبیقیة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والاستثماریة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لتنشیط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3">
            <w:pPr>
              <w:bidi w:val="1"/>
              <w:ind w:left="7" w:right="165" w:firstLine="0.9999999999999998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استجابة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لعملیة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المعالجة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المغناطیسیة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ind w:left="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7">
            <w:pPr>
              <w:bidi w:val="1"/>
              <w:ind w:left="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اھمیة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8">
            <w:pPr>
              <w:bidi w:val="1"/>
              <w:ind w:left="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التكثیر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بالتقاوي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9">
            <w:pPr>
              <w:bidi w:val="1"/>
              <w:ind w:left="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الحقلیة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لتكثیر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التقاوي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A">
            <w:pPr>
              <w:bidi w:val="1"/>
              <w:ind w:left="98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زارع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بین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الھجن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التجاریة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والاصناف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التلقیح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AB">
            <w:pPr>
              <w:bidi w:val="1"/>
              <w:ind w:left="98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الزراعیة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ind w:right="101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أمتحان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ind w:right="646" w:firstLine="2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تصدیق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2">
            <w:pPr>
              <w:bidi w:val="1"/>
              <w:ind w:right="646" w:firstLine="2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انتاج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المصدقة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3">
            <w:pPr>
              <w:bidi w:val="1"/>
              <w:ind w:right="646" w:firstLine="2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مواصفات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بانتاج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المصدقة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4">
            <w:pPr>
              <w:bidi w:val="1"/>
              <w:ind w:right="646" w:firstLine="2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طریقة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تصدیق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الاصناف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5">
            <w:pPr>
              <w:bidi w:val="1"/>
              <w:ind w:right="646" w:firstLine="2"/>
              <w:contextualSpacing w:val="0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المعاییر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القیاسات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التفتیش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9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كیفیة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اجراء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التفتیش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الحقلي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A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مواعید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التفتیش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B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الغریبة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C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الامراض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D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للمحصول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E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مسافات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العزل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BF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المعاملات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الزراعیة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المحاصیل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C0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تنظیف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الحقل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والتخلص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الغریبة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C1">
            <w:pPr>
              <w:bidi w:val="1"/>
              <w:ind w:left="103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فحص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</w:t>
            </w:r>
          </w:p>
          <w:p w:rsidR="00000000" w:rsidDel="00000000" w:rsidP="00000000" w:rsidRDefault="00000000" w:rsidRPr="00000000" w14:paraId="000000C2">
            <w:pPr>
              <w:bidi w:val="1"/>
              <w:ind w:left="103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قطاعات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المراقبة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التفتیش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المراقبة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التفتیش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3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contextualSpacing w:val="0"/>
              <w:jc w:val="left"/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C6">
            <w:pPr>
              <w:bidi w:val="1"/>
              <w:ind w:right="304"/>
              <w:contextualSpacing w:val="0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تعاریف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واصطلاحات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صلة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بتكنولوجیا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ind w:left="100"/>
              <w:contextualSpacing w:val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تشریعات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وقوانین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تداول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A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B">
            <w:pPr>
              <w:ind w:right="191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أمتحان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contextualSpacing w:val="0"/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الخزن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D0">
            <w:pPr>
              <w:contextualSpacing w:val="0"/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خزن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للاغراض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الزراعیة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D1">
            <w:pPr>
              <w:contextualSpacing w:val="0"/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المعاملات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بالبذور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وخزن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البذور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D2">
            <w:pPr>
              <w:contextualSpacing w:val="0"/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اھم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مبیدات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الفطریات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D3">
            <w:pPr>
              <w:contextualSpacing w:val="0"/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اھم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مبیدات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الحشرات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المھمة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color w:val="000000"/>
                <w:sz w:val="28"/>
                <w:szCs w:val="28"/>
                <w:rtl w:val="0"/>
              </w:rPr>
              <w:t xml:space="preserve">✓</w:t>
            </w:r>
          </w:p>
          <w:p w:rsidR="00000000" w:rsidDel="00000000" w:rsidP="00000000" w:rsidRDefault="00000000" w:rsidRPr="00000000" w14:paraId="000000D4">
            <w:pPr>
              <w:bidi w:val="1"/>
              <w:ind w:right="571" w:firstLine="7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ind w:left="9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ind w:left="104"/>
              <w:contextualSpacing w:val="0"/>
              <w:jc w:val="left"/>
              <w:rPr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ابحاث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تكنولوجیا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البذور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وتوصیاتھا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العراق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8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ind w:right="191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ind w:left="101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مراجعة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ind w:right="103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9"/>
                <w:szCs w:val="29"/>
                <w:rtl w:val="0"/>
              </w:rPr>
              <w:t xml:space="preserve"> 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bidi w:val="1"/>
        <w:spacing w:after="213" w:lineRule="auto"/>
        <w:ind w:left="9102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left="9012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type w:val="continuous"/>
      <w:pgSz w:h="16845" w:w="11910"/>
      <w:pgMar w:bottom="1440" w:top="1440" w:left="1127" w:right="619" w:header="720" w:footer="72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ar-IQ"/>
      </w:rPr>
    </w:rPrDefault>
    <w:pPrDefault>
      <w:pPr>
        <w:bidi w:val="1"/>
        <w:spacing w:after="160" w:line="259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  <w:jc w:val="right"/>
    </w:pPr>
    <w:rPr>
      <w:rFonts w:ascii="Calibri" w:cs="Calibri" w:eastAsia="Calibri" w:hAnsi="Calibri"/>
      <w:color w:val="000000"/>
      <w:lang w:bidi="ar-IQ" w:eastAsia="ar-IQ" w:val="ar-IQ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.0" w:type="dxa"/>
        <w:left w:w="8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